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psize"/>
        <w:spacing w:before="280" w:after="280"/>
        <w:rPr/>
      </w:pPr>
      <w:r>
        <w:rPr/>
        <w:t>RR.271.21.2019</w:t>
        <w:tab/>
        <w:tab/>
        <w:tab/>
        <w:tab/>
        <w:tab/>
        <w:tab/>
        <w:tab/>
        <w:t>Sułów, dnia 04.12.2019 r..</w:t>
      </w:r>
    </w:p>
    <w:p>
      <w:pPr>
        <w:pStyle w:val="Spsize"/>
        <w:jc w:val="right"/>
        <w:rPr/>
      </w:pPr>
      <w:r>
        <w:rPr/>
      </w:r>
    </w:p>
    <w:p>
      <w:pPr>
        <w:pStyle w:val="Spsize"/>
        <w:jc w:val="center"/>
        <w:rPr>
          <w:color w:val="548DD4" w:themeColor="text2" w:themeTint="99"/>
        </w:rPr>
      </w:pPr>
      <w:r>
        <w:rPr>
          <w:rStyle w:val="Strong"/>
          <w:color w:val="548DD4" w:themeColor="text2" w:themeTint="99"/>
          <w:u w:val="single"/>
        </w:rPr>
        <w:t>ZMIANA TREŚCI SPECYFIKACJI ISTOTNYCH WARUNKÓW ZAMÓWIENIA</w:t>
      </w:r>
    </w:p>
    <w:p>
      <w:pPr>
        <w:pStyle w:val="Spsize"/>
        <w:jc w:val="both"/>
        <w:rPr/>
      </w:pPr>
      <w:r>
        <w:rPr>
          <w:rStyle w:val="Wyrnienie"/>
        </w:rPr>
        <w:t xml:space="preserve">Dotyczy: postępowania prowadzonego w trybie przetargu nieograniczonego na udzielenie zamówienia publicznego pn. </w:t>
      </w:r>
      <w:r>
        <w:rPr>
          <w:rStyle w:val="Strong"/>
          <w:i/>
          <w:iCs/>
        </w:rPr>
        <w:t>„Termomodernizacja budynku Szkoły Podstawowej w Sułowie</w:t>
      </w:r>
      <w:r>
        <w:rPr>
          <w:rStyle w:val="Wyrnienie"/>
          <w:b/>
          <w:bCs/>
        </w:rPr>
        <w:t>”</w:t>
      </w:r>
      <w:r>
        <w:rPr>
          <w:rStyle w:val="Wyrnienie"/>
        </w:rPr>
        <w:t>.</w:t>
      </w:r>
    </w:p>
    <w:p>
      <w:pPr>
        <w:pStyle w:val="Spsize"/>
        <w:jc w:val="both"/>
        <w:rPr/>
      </w:pPr>
      <w:r>
        <w:rPr/>
        <w:t> </w:t>
      </w:r>
      <w:r>
        <w:rPr/>
        <w:tab/>
        <w:t>Na podstawie art. 38 ust. 4, ust. 4a oraz ust. 6 ustawy z dnia 29 stycznia 2004r. - Prawo zamówień publicznych (t.j. Dz. U.  z 2019 r. poz. 1843), zwanej dalej ustawą, Zamawiający w uzasadnionych przypadkach może przed upływem terminu składania ofert zmienić treść specyfikacji istotnych warunków zamówienia (SIWZ). Dokonaną zmianę treści specyfikacji zamawiający udostępnia na stronie internetowej, zamieszcza ogłoszenie o zmianie ogłoszenia w Biuletynie Zamówień Publicznych oraz przedłuża termin składania ofert.</w:t>
      </w:r>
    </w:p>
    <w:p>
      <w:pPr>
        <w:pStyle w:val="Spsize"/>
        <w:jc w:val="both"/>
        <w:rPr/>
      </w:pPr>
      <w:r>
        <w:rPr/>
        <w:t> </w:t>
      </w:r>
      <w:r>
        <w:rPr>
          <w:rStyle w:val="Strong"/>
          <w:u w:val="single"/>
        </w:rPr>
        <w:t>Ze względu na:</w:t>
      </w:r>
    </w:p>
    <w:p>
      <w:pPr>
        <w:pStyle w:val="Spsize"/>
        <w:jc w:val="both"/>
        <w:rPr/>
      </w:pPr>
      <w:r>
        <w:rPr/>
        <w:t xml:space="preserve">Istotne zmiany w opisie przedmiotu zamówienia Zamawiający wprowadza zmiany do treści SIWZ, w tym zmiany dotyczące </w:t>
      </w:r>
      <w:r>
        <w:rPr>
          <w:rStyle w:val="Strong"/>
        </w:rPr>
        <w:t xml:space="preserve">przedłużenia terminu składania ofert z 5 grudnia 2019 r. godz. 10:00 do 13 grudnia 2019 r. godz. 10:00, </w:t>
      </w:r>
      <w:r>
        <w:rPr/>
        <w:t xml:space="preserve">zgodnie z poniższymi postanowieniami, </w:t>
      </w:r>
      <w:r>
        <w:rPr>
          <w:u w:val="single"/>
        </w:rPr>
        <w:t>które są wiążące dla Wykonawców</w:t>
      </w:r>
      <w:r>
        <w:rPr/>
        <w:t>:</w:t>
      </w:r>
    </w:p>
    <w:p>
      <w:pPr>
        <w:pStyle w:val="Spsize"/>
        <w:jc w:val="both"/>
        <w:rPr/>
      </w:pPr>
      <w:r>
        <w:rPr/>
      </w:r>
    </w:p>
    <w:p>
      <w:pPr>
        <w:pStyle w:val="Spsize"/>
        <w:jc w:val="both"/>
        <w:rPr/>
      </w:pPr>
      <w:r>
        <w:rPr>
          <w:b/>
        </w:rPr>
        <w:t>1)</w:t>
      </w:r>
      <w:r>
        <w:rPr/>
        <w:t xml:space="preserve"> </w:t>
      </w:r>
      <w:r>
        <w:rPr>
          <w:b/>
        </w:rPr>
        <w:t>Część III</w:t>
      </w:r>
      <w:r>
        <w:rPr/>
        <w:t xml:space="preserve">  </w:t>
      </w:r>
      <w:r>
        <w:rPr>
          <w:b/>
        </w:rPr>
        <w:t>SIWZ otrzymuje brzmienie</w:t>
      </w:r>
      <w:r>
        <w:rPr/>
        <w:t xml:space="preserve"> :</w:t>
      </w:r>
    </w:p>
    <w:p>
      <w:pPr>
        <w:pStyle w:val="ListParagraph"/>
        <w:spacing w:before="280" w:after="0"/>
        <w:ind w:left="708" w:hanging="0"/>
        <w:contextualSpacing/>
        <w:rPr/>
      </w:pPr>
      <w:r>
        <w:rPr/>
        <w:t>Przedmiotem zamówienia są roboty budowlane w budynku Szkoły Podstawowej w Sułowie, Sułów 64, 22-448 Sułów (działki nr 492/2, 493/1, 494, 1512) polegające na wykonaniu ocieplenia ścian zewnętrznych, wymianie stolarki okiennej i drzwiowej, ocieplenia ścian fundamentowych, nawierzchni utwardzonych- opaski, wymianie oświetlenia wewnątrz na oświetlenie LED, wymianie instalacji C.O. oraz wymianie kotła C.O , wyposażonego w system zarządzania energią z kotłownią na pellet wraz z instalacją. Szczegółowy opis przedmiotu zamówienia stanowi dokumentacja projektowa, schemat technologiczny kotłowni (przedstawia on rozwinięcia ilości zaworów potrzebnych do zastosowania w kotłowni wraz z rozwinięciem średnicy rur, zastosowano w kotłowni jedno naczynie)  oraz specyfikacja techniczna wykonania i odbioru robót budowlanych stanowiąca Załącznik nr 1 do SIWZ.</w:t>
      </w:r>
    </w:p>
    <w:p>
      <w:pPr>
        <w:pStyle w:val="ListParagraph"/>
        <w:spacing w:before="280" w:after="0"/>
        <w:ind w:left="708" w:firstLine="708"/>
        <w:contextualSpacing/>
        <w:rPr/>
      </w:pPr>
      <w:r>
        <w:rPr/>
        <w:t>Na Wykonawcy spoczywać będzie obowiązek wykonania zobowiązań wynikających z Umowy, SIWZ oraz obowiązujących przepisów prawa, wykonania robót budowlanych zgodnie z dokumentacją techniczną, Umową, SIWZ, obowiązującymi przepisami prawa oraz warunkami wskazanymi w innych decyzjach administracyjnych a w tym do:</w:t>
      </w:r>
    </w:p>
    <w:p>
      <w:pPr>
        <w:pStyle w:val="ListParagraph"/>
        <w:numPr>
          <w:ilvl w:val="0"/>
          <w:numId w:val="4"/>
        </w:numPr>
        <w:spacing w:lineRule="auto" w:line="276" w:beforeAutospacing="0" w:before="0" w:afterAutospacing="0" w:after="0"/>
        <w:contextualSpacing/>
        <w:rPr/>
      </w:pPr>
      <w:r>
        <w:rPr/>
        <w:t xml:space="preserve"> </w:t>
      </w:r>
      <w:r>
        <w:rPr/>
        <w:t>odpowiedniego oznakowania i zabezpieczenia miejsc prowadzenia robót, wygrodzenie stref niebezpiecznych - zgodnie z obowiązującymi przepisami;</w:t>
      </w:r>
    </w:p>
    <w:p>
      <w:pPr>
        <w:pStyle w:val="ListParagraph"/>
        <w:numPr>
          <w:ilvl w:val="0"/>
          <w:numId w:val="4"/>
        </w:numPr>
        <w:spacing w:lineRule="auto" w:line="276" w:beforeAutospacing="0" w:before="0" w:afterAutospacing="0" w:after="0"/>
        <w:ind w:left="709" w:hanging="142"/>
        <w:contextualSpacing/>
        <w:rPr/>
      </w:pPr>
      <w:r>
        <w:rPr/>
        <w:t>zapewnienia odpowiednich warunków bezpieczeństwa i ochrony zdrowia osób przebywających na terenie budowy;</w:t>
      </w:r>
    </w:p>
    <w:p>
      <w:pPr>
        <w:pStyle w:val="ListParagraph"/>
        <w:spacing w:before="280" w:after="0"/>
        <w:ind w:left="708" w:firstLine="708"/>
        <w:contextualSpacing/>
        <w:rPr/>
      </w:pPr>
      <w:r>
        <w:rPr/>
        <w:t>Wykonawca zobowiązany jest udzielić gwarancji na wykonane roboty budowlane oraz zamontowane urządzenia i materiały na okres wskazany w ofercie. Minimalny wymagany okres gwarancji jakości na wykonany przedmiot zamówienia wynosi 36 miesięcy licząc od daty wskazanej w protokole odbioru końcowego. Wykonawca może zaproponować dłuższy okres gwarancji, co będzie uwzględnione podczas oceny i badania ofert na zasadach określonych w rozdziale XXVII SIWZ.</w:t>
      </w:r>
    </w:p>
    <w:p>
      <w:pPr>
        <w:pStyle w:val="ListParagraph"/>
        <w:spacing w:before="280" w:after="0"/>
        <w:ind w:left="708" w:firstLine="708"/>
        <w:contextualSpacing/>
        <w:rPr/>
      </w:pPr>
      <w:r>
        <w:rPr/>
        <w:t xml:space="preserve">Zamawiającemu przysługują pełne uprawnienia z tytułu rękojmi za wady fizyczne wynikające z przepisów kodeksu cywilnego w terminach tam określonych – niezależnie od uprawnień z tytułu gwarancji. </w:t>
      </w:r>
    </w:p>
    <w:p>
      <w:pPr>
        <w:pStyle w:val="ListParagraph"/>
        <w:spacing w:before="280" w:after="0"/>
        <w:ind w:left="708" w:firstLine="708"/>
        <w:contextualSpacing/>
        <w:rPr/>
      </w:pPr>
      <w:r>
        <w:rPr/>
        <w:t>Udzielając gwarancji Wykonawca zapewnia bezpłatne czynności przeglądów gwarancyjnych w okresie udzielonej gwarancji na cały przedmiot zamówienia, więc powinien te koszty uwzględnić w kalkulacji ceny oferty.</w:t>
      </w:r>
    </w:p>
    <w:p>
      <w:pPr>
        <w:pStyle w:val="ListParagraph"/>
        <w:spacing w:before="280" w:after="0"/>
        <w:ind w:left="708" w:hanging="0"/>
        <w:contextualSpacing/>
        <w:rPr/>
      </w:pPr>
      <w:r>
        <w:rPr/>
      </w:r>
    </w:p>
    <w:p>
      <w:pPr>
        <w:pStyle w:val="ListParagraph"/>
        <w:spacing w:before="280" w:after="0"/>
        <w:ind w:left="708" w:hanging="0"/>
        <w:contextualSpacing/>
        <w:rPr>
          <w:bCs/>
          <w:color w:val="000000"/>
        </w:rPr>
      </w:pPr>
      <w:r>
        <w:rPr>
          <w:b/>
          <w:bCs/>
          <w:color w:val="000000"/>
          <w:u w:val="single"/>
        </w:rPr>
        <w:t>Przedmiary robót załączone do SIWZ mają charakter pomocniczy</w:t>
      </w:r>
      <w:r>
        <w:rPr>
          <w:bCs/>
          <w:color w:val="000000"/>
        </w:rPr>
        <w:t xml:space="preserve">. Wykonawca zobowiązany jest do dokładnego sprawdzenia ilości robót z dokumentacją projektową. Z uwagi na to, że wynagrodzenie za przedmiot zamówienia będzie wynagrodzeniem ryczałtowym, w przypadku wystąpienia w trakcie prowadzenia robót większej ilości robót w jakiejkolwiek pozycji przedmiarowej nie będzie mogło być uznane za roboty dodatkowe z żądaniem dodatkowego wynagrodzenia. Ewentualny brak w przedmiarze robót wynikających z dokumentacji projektowej nie zwalnia Wykonawcy od obowiązku ich wykonania na podstawie projektu w cenie umownej.  </w:t>
      </w:r>
    </w:p>
    <w:p>
      <w:pPr>
        <w:pStyle w:val="Normal"/>
        <w:spacing w:before="280" w:after="0"/>
        <w:ind w:firstLine="708"/>
        <w:contextualSpacing/>
        <w:rPr/>
      </w:pPr>
      <w:r>
        <w:rPr>
          <w:b/>
          <w:u w:val="single"/>
        </w:rPr>
        <w:t>Rozwiązania równoważne</w:t>
      </w:r>
      <w:r>
        <w:rPr/>
        <w:t>.</w:t>
      </w:r>
    </w:p>
    <w:p>
      <w:pPr>
        <w:pStyle w:val="Normal"/>
        <w:numPr>
          <w:ilvl w:val="0"/>
          <w:numId w:val="3"/>
        </w:numPr>
        <w:spacing w:lineRule="auto" w:line="276" w:beforeAutospacing="0" w:before="0" w:afterAutospacing="0" w:after="0"/>
        <w:ind w:left="720" w:hanging="360"/>
        <w:contextualSpacing/>
        <w:rPr/>
      </w:pPr>
      <w:r>
        <w:rPr/>
        <w:t>W przypadku użycia w SIWZ lub załącznikach odniesień do norm, europejskich ocen technicznych, aprobat, specyfikacji technicznych i systemów referencji technicznych, o których mowa w art. 30 ust. 1 pkt 2 i ust. 3 ustawy, Zamawiający dopuszcza rozwiązania równoważne opisywanym. Wykonawca analizując dokumentację projektową powinien założyć, że każdemu odniesieniu o którym mowa w art. 30 ust. 1 pkt 2 i ust. 3 ustawy użytemu w dokumentacji projektowej towarzyszy wyraz „lub równoważne”.</w:t>
      </w:r>
    </w:p>
    <w:p>
      <w:pPr>
        <w:pStyle w:val="Normal"/>
        <w:numPr>
          <w:ilvl w:val="0"/>
          <w:numId w:val="3"/>
        </w:numPr>
        <w:spacing w:lineRule="auto" w:line="276" w:beforeAutospacing="0" w:before="0" w:afterAutospacing="0" w:after="0"/>
        <w:ind w:left="720" w:hanging="360"/>
        <w:contextualSpacing/>
        <w:rPr/>
      </w:pPr>
      <w:r>
        <w:rPr/>
        <w:t>W przypadku, gdy w SIWZ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Użycie w SIWZ lub załącznikach oznakowania w rozumieniu art. 2 pkt 16 ustawy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pPr>
        <w:pStyle w:val="Normal"/>
        <w:numPr>
          <w:ilvl w:val="0"/>
          <w:numId w:val="3"/>
        </w:numPr>
        <w:spacing w:lineRule="auto" w:line="276" w:beforeAutospacing="0" w:before="0" w:afterAutospacing="0" w:after="0"/>
        <w:ind w:left="720" w:hanging="360"/>
        <w:contextualSpacing/>
        <w:rPr/>
      </w:pPr>
      <w:r>
        <w:rPr/>
        <w:t>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pPr>
        <w:pStyle w:val="Normal"/>
        <w:numPr>
          <w:ilvl w:val="0"/>
          <w:numId w:val="3"/>
        </w:numPr>
        <w:spacing w:lineRule="auto" w:line="276" w:beforeAutospacing="0" w:before="0" w:afterAutospacing="0" w:after="0"/>
        <w:ind w:left="720" w:hanging="360"/>
        <w:contextualSpacing/>
        <w:rPr>
          <w:b/>
          <w:b/>
        </w:rPr>
      </w:pPr>
      <w:r>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projektową.</w:t>
      </w:r>
    </w:p>
    <w:p>
      <w:pPr>
        <w:pStyle w:val="ListParagraph"/>
        <w:spacing w:before="280" w:after="0"/>
        <w:ind w:left="1068" w:hanging="0"/>
        <w:contextualSpacing/>
        <w:rPr/>
      </w:pPr>
      <w:r>
        <w:rPr/>
      </w:r>
    </w:p>
    <w:p>
      <w:pPr>
        <w:pStyle w:val="ListParagraph"/>
        <w:spacing w:before="280" w:after="0"/>
        <w:ind w:left="708" w:firstLine="12"/>
        <w:contextualSpacing/>
        <w:rPr/>
      </w:pPr>
      <w:r>
        <w:rPr/>
        <w:tab/>
      </w:r>
      <w:r>
        <w:rPr>
          <w:u w:val="single"/>
        </w:rPr>
        <w:t>Zamawiający, na podstawie art. 29 ust. 3a ustawy, wymaga zatrudnienia na umowę o pracę</w:t>
      </w:r>
      <w:r>
        <w:rPr/>
        <w:t xml:space="preserve"> przez Wykonawcę lub podwykonawcę osób wykonujących prace objęte zakresem zamówienia polegające na wykonywaniu prac fizycznych przy robotach ogólnobudowlanych, operatorów sprzętu, osób wykonujących prace instalacyjno – montażowe, jeżeli wykonywanie tych czynności polega na wykonywaniu pracy w rozumieniu przepisów kodeksu pracy (obowiązek ten nie dotyczy sytuacji, gdy prace te będą wykonywały samodzielnie osoby fizyczne prowadzące działalność gospodarczą w postaci tzw. samozatrudnienia, jako podwykonawca).</w:t>
      </w:r>
    </w:p>
    <w:p>
      <w:pPr>
        <w:pStyle w:val="Spsize"/>
        <w:jc w:val="both"/>
        <w:rPr/>
      </w:pPr>
      <w:r>
        <w:rPr/>
      </w:r>
    </w:p>
    <w:p>
      <w:pPr>
        <w:pStyle w:val="Spsize"/>
        <w:jc w:val="both"/>
        <w:rPr>
          <w:rStyle w:val="Strong"/>
          <w:u w:val="single"/>
        </w:rPr>
      </w:pPr>
      <w:r>
        <w:rPr>
          <w:rStyle w:val="Strong"/>
          <w:u w:val="single"/>
        </w:rPr>
        <w:t>2)Część XXIII  lit. E pkt 14   SIWZ otrzymuje brzmienie: </w:t>
      </w:r>
    </w:p>
    <w:p>
      <w:pPr>
        <w:pStyle w:val="ListParagraph"/>
        <w:numPr>
          <w:ilvl w:val="0"/>
          <w:numId w:val="2"/>
        </w:numPr>
        <w:spacing w:lineRule="auto" w:line="276" w:beforeAutospacing="0" w:before="0" w:afterAutospacing="0" w:after="0"/>
        <w:contextualSpacing/>
        <w:rPr>
          <w:b/>
          <w:b/>
        </w:rPr>
      </w:pPr>
      <w:r>
        <w:rPr/>
        <w:t xml:space="preserve">  </w:t>
      </w:r>
      <w:r>
        <w:rPr>
          <w:b/>
        </w:rPr>
        <w:t>Ofertę wraz z oświadczeniami i dokumentami należy złożyć w zamkniętym opakowaniu, uniemożliwiającym odczytanie jego zawartości bez uszkodzenia tego opakowania. Opakowanie powinno być oznaczone nazwą (firmą) i adresem Wykonawcy, zaadresowane następująco:</w:t>
      </w:r>
    </w:p>
    <w:p>
      <w:pPr>
        <w:pStyle w:val="ListParagraph"/>
        <w:spacing w:before="280" w:after="0"/>
        <w:ind w:left="927" w:hanging="0"/>
        <w:contextualSpacing/>
        <w:rPr>
          <w:b/>
          <w:b/>
        </w:rPr>
      </w:pPr>
      <w:r>
        <w:rPr>
          <w:b/>
        </w:rPr>
        <w:t>Gmina Sułów</w:t>
      </w:r>
    </w:p>
    <w:p>
      <w:pPr>
        <w:pStyle w:val="ListParagraph"/>
        <w:spacing w:before="280" w:after="0"/>
        <w:ind w:left="927" w:hanging="0"/>
        <w:contextualSpacing/>
        <w:rPr>
          <w:b/>
          <w:b/>
        </w:rPr>
      </w:pPr>
      <w:r>
        <w:rPr>
          <w:b/>
        </w:rPr>
        <w:t>Sułów 63</w:t>
      </w:r>
    </w:p>
    <w:p>
      <w:pPr>
        <w:pStyle w:val="ListParagraph"/>
        <w:spacing w:before="280" w:after="0"/>
        <w:ind w:left="927" w:hanging="0"/>
        <w:contextualSpacing/>
        <w:rPr>
          <w:b/>
          <w:b/>
        </w:rPr>
      </w:pPr>
      <w:r>
        <w:rPr>
          <w:b/>
        </w:rPr>
        <w:t>22-448 Sułów</w:t>
      </w:r>
    </w:p>
    <w:p>
      <w:pPr>
        <w:pStyle w:val="Normal"/>
        <w:spacing w:before="280" w:after="0"/>
        <w:ind w:left="708" w:hanging="0"/>
        <w:rPr>
          <w:rFonts w:eastAsia="Times New Roman"/>
          <w:lang w:eastAsia="pl-PL"/>
        </w:rPr>
      </w:pPr>
      <w:r>
        <w:rPr>
          <w:rFonts w:eastAsia="Times New Roman"/>
          <w:lang w:eastAsia="pl-PL"/>
        </w:rPr>
        <w:t xml:space="preserve">oraz powinna być oznakowana następującym tekstem: </w:t>
      </w:r>
    </w:p>
    <w:p>
      <w:pPr>
        <w:pStyle w:val="Normal"/>
        <w:pBdr>
          <w:top w:val="single" w:sz="4" w:space="5" w:color="000000"/>
          <w:left w:val="single" w:sz="4" w:space="4" w:color="000000"/>
          <w:bottom w:val="single" w:sz="4" w:space="1" w:color="000000"/>
          <w:right w:val="single" w:sz="4" w:space="4" w:color="000000"/>
        </w:pBdr>
        <w:spacing w:before="280" w:after="0"/>
        <w:ind w:left="709" w:hanging="0"/>
        <w:rPr>
          <w:rFonts w:eastAsia="Times New Roman"/>
          <w:b/>
          <w:b/>
          <w:lang w:eastAsia="pl-PL"/>
        </w:rPr>
      </w:pPr>
      <w:r>
        <w:rPr>
          <w:rFonts w:eastAsia="Times New Roman"/>
          <w:b/>
          <w:lang w:eastAsia="pl-PL"/>
        </w:rPr>
        <w:t>Oferta w postępowaniu prowadzonym w trybie przetargu nieograniczonego na</w:t>
      </w:r>
      <w:r>
        <w:rPr/>
        <w:t xml:space="preserve">  </w:t>
      </w:r>
      <w:r>
        <w:rPr>
          <w:b/>
        </w:rPr>
        <w:t xml:space="preserve">zadanie pn.”Termomodernizacja budynku Szkoły Podstawowej w Sułowie” </w:t>
      </w:r>
      <w:r>
        <w:rPr>
          <w:rFonts w:eastAsia="Times New Roman"/>
          <w:b/>
          <w:lang w:eastAsia="pl-PL"/>
        </w:rPr>
        <w:t>- RR.271.21.2019</w:t>
      </w:r>
      <w:r>
        <w:rPr>
          <w:rFonts w:eastAsia="Times New Roman"/>
          <w:b/>
          <w:bCs/>
          <w:lang w:eastAsia="pl-PL"/>
        </w:rPr>
        <w:t xml:space="preserve"> </w:t>
      </w:r>
      <w:r>
        <w:rPr>
          <w:rFonts w:eastAsia="Times New Roman"/>
          <w:b/>
          <w:lang w:eastAsia="pl-PL"/>
        </w:rPr>
        <w:t>- nie otwierać przed dniem 13 grudnia 2019 r. przed godz. 10.15 Dostarczyć do dnia 13 grudnia 2019 r. do godz. 10.00 do Sekretariatu Urzędu Gminy – pokój nr 1”.</w:t>
      </w:r>
    </w:p>
    <w:p>
      <w:pPr>
        <w:pStyle w:val="Normal"/>
        <w:spacing w:before="280" w:after="0"/>
        <w:ind w:left="708" w:hanging="0"/>
        <w:rPr>
          <w:rFonts w:eastAsia="Times New Roman"/>
          <w:lang w:eastAsia="pl-PL"/>
        </w:rPr>
      </w:pPr>
      <w:r>
        <w:rPr>
          <w:rFonts w:eastAsia="Times New Roman"/>
          <w:lang w:eastAsia="pl-PL"/>
        </w:rPr>
      </w:r>
    </w:p>
    <w:p>
      <w:pPr>
        <w:pStyle w:val="Normal"/>
        <w:spacing w:before="280" w:after="0"/>
        <w:ind w:left="708" w:hanging="0"/>
        <w:rPr>
          <w:rFonts w:eastAsia="Times New Roman"/>
          <w:i/>
          <w:i/>
          <w:lang w:eastAsia="pl-PL"/>
        </w:rPr>
      </w:pPr>
      <w:r>
        <w:rPr>
          <w:rFonts w:eastAsia="Times New Roman"/>
          <w:lang w:eastAsia="pl-PL"/>
        </w:rPr>
        <w:t xml:space="preserve">Wykonawca może wprowadzić zmiany lub wycofać złożoną przez siebie ofertę pod warunkiem, że nastąpi to przed wyznaczonym przez Zamawiającego ostatecznym terminem składania ofert. Koperta będzie dodatkowo oznaczona określeniem </w:t>
      </w:r>
      <w:r>
        <w:rPr>
          <w:rFonts w:eastAsia="Times New Roman"/>
          <w:i/>
          <w:lang w:eastAsia="pl-PL"/>
        </w:rPr>
        <w:t>„zmiana”</w:t>
      </w:r>
      <w:r>
        <w:rPr>
          <w:rFonts w:eastAsia="Times New Roman"/>
          <w:lang w:eastAsia="pl-PL"/>
        </w:rPr>
        <w:t xml:space="preserve"> lub </w:t>
      </w:r>
      <w:r>
        <w:rPr>
          <w:rFonts w:eastAsia="Times New Roman"/>
          <w:i/>
          <w:lang w:eastAsia="pl-PL"/>
        </w:rPr>
        <w:t>wycofanie”.</w:t>
      </w:r>
    </w:p>
    <w:p>
      <w:pPr>
        <w:pStyle w:val="Normal"/>
        <w:spacing w:before="280" w:after="0"/>
        <w:ind w:left="708" w:firstLine="708"/>
        <w:rPr>
          <w:rFonts w:eastAsia="Times New Roman"/>
          <w:b/>
          <w:b/>
          <w:spacing w:val="20"/>
          <w:u w:val="single"/>
          <w:lang w:eastAsia="pl-PL"/>
        </w:rPr>
      </w:pPr>
      <w:r>
        <w:rPr>
          <w:rFonts w:eastAsia="Times New Roman"/>
          <w:b/>
          <w:spacing w:val="20"/>
          <w:u w:val="single"/>
          <w:lang w:eastAsia="pl-PL"/>
        </w:rPr>
        <w:t>UWAGA!</w:t>
      </w:r>
    </w:p>
    <w:p>
      <w:pPr>
        <w:pStyle w:val="Normal"/>
        <w:spacing w:before="280" w:after="0"/>
        <w:ind w:left="708" w:hanging="0"/>
        <w:rPr>
          <w:rFonts w:eastAsia="Times New Roman"/>
          <w:b/>
          <w:b/>
          <w:spacing w:val="20"/>
          <w:lang w:eastAsia="pl-PL"/>
        </w:rPr>
      </w:pPr>
      <w:r>
        <w:rPr>
          <w:rFonts w:eastAsia="Times New Roman"/>
          <w:b/>
          <w:lang w:eastAsia="pl-PL"/>
        </w:rPr>
        <w:t>W przypadku nieprawidłowego zaadresowania koperty/opakowania, Zamawiający nie bierze odpowiedzialności za złe skierowanie przesyłki lub jej przedterminowe otwarcie. Oferta taka nie weźmie udziału w postępowaniu.</w:t>
      </w:r>
    </w:p>
    <w:p>
      <w:pPr>
        <w:pStyle w:val="ListParagraph"/>
        <w:ind w:left="0" w:hanging="0"/>
        <w:rPr>
          <w:rFonts w:eastAsia="Times New Roman"/>
          <w:b/>
          <w:b/>
          <w:u w:val="single"/>
          <w:lang w:eastAsia="pl-PL"/>
        </w:rPr>
      </w:pPr>
      <w:r>
        <w:rPr>
          <w:rFonts w:eastAsia="Times New Roman"/>
          <w:b/>
          <w:u w:val="single"/>
          <w:lang w:eastAsia="pl-PL"/>
        </w:rPr>
        <w:t>Część XXIV do SIWZ , otrzymuje brzmienie:</w:t>
      </w:r>
    </w:p>
    <w:p>
      <w:pPr>
        <w:pStyle w:val="Normal"/>
        <w:numPr>
          <w:ilvl w:val="0"/>
          <w:numId w:val="1"/>
        </w:numPr>
        <w:spacing w:lineRule="auto" w:line="276" w:beforeAutospacing="0" w:before="0" w:afterAutospacing="0" w:after="0"/>
        <w:rPr>
          <w:rFonts w:eastAsia="Times New Roman"/>
          <w:b/>
          <w:b/>
          <w:lang w:eastAsia="pl-PL"/>
        </w:rPr>
      </w:pPr>
      <w:r>
        <w:rPr>
          <w:rFonts w:eastAsia="Times New Roman"/>
          <w:b/>
          <w:u w:val="single"/>
          <w:lang w:eastAsia="pl-PL"/>
        </w:rPr>
        <w:t>Miejsce oraz termin składania i otwarcia ofert</w:t>
      </w:r>
    </w:p>
    <w:p>
      <w:pPr>
        <w:pStyle w:val="Normal"/>
        <w:spacing w:lineRule="auto" w:line="276" w:beforeAutospacing="0" w:before="0" w:afterAutospacing="0" w:after="0"/>
        <w:ind w:left="720" w:hanging="0"/>
        <w:rPr>
          <w:rFonts w:eastAsia="Times New Roman"/>
          <w:b/>
          <w:b/>
          <w:lang w:eastAsia="pl-PL"/>
        </w:rPr>
      </w:pPr>
      <w:r>
        <w:rPr>
          <w:rFonts w:eastAsia="Times New Roman"/>
          <w:b/>
          <w:lang w:eastAsia="pl-PL"/>
        </w:rPr>
      </w:r>
    </w:p>
    <w:p>
      <w:pPr>
        <w:pStyle w:val="Normal"/>
        <w:numPr>
          <w:ilvl w:val="1"/>
          <w:numId w:val="2"/>
        </w:numPr>
        <w:spacing w:lineRule="auto" w:line="276" w:beforeAutospacing="0" w:before="0" w:afterAutospacing="0" w:after="0"/>
        <w:rPr>
          <w:rFonts w:eastAsia="Times New Roman"/>
          <w:lang w:eastAsia="pl-PL"/>
        </w:rPr>
      </w:pPr>
      <w:r>
        <w:rPr>
          <w:rFonts w:eastAsia="Times New Roman"/>
          <w:u w:val="single"/>
          <w:lang w:eastAsia="pl-PL"/>
        </w:rPr>
        <w:t>Miejsce i termin składania ofert</w:t>
      </w:r>
      <w:r>
        <w:rPr>
          <w:rFonts w:eastAsia="Times New Roman"/>
          <w:lang w:eastAsia="pl-PL"/>
        </w:rPr>
        <w:t>:</w:t>
      </w:r>
    </w:p>
    <w:p>
      <w:pPr>
        <w:pStyle w:val="Normal"/>
        <w:spacing w:before="280" w:after="0"/>
        <w:ind w:left="502" w:hanging="0"/>
        <w:rPr>
          <w:rFonts w:eastAsia="Times New Roman"/>
          <w:b/>
          <w:b/>
          <w:lang w:eastAsia="pl-PL"/>
        </w:rPr>
      </w:pPr>
      <w:r>
        <w:rPr>
          <w:rFonts w:eastAsia="Times New Roman"/>
          <w:b/>
          <w:lang w:eastAsia="pl-PL"/>
        </w:rPr>
        <w:t xml:space="preserve">Miejsce: </w:t>
        <w:tab/>
      </w:r>
    </w:p>
    <w:p>
      <w:pPr>
        <w:pStyle w:val="Normal"/>
        <w:pBdr>
          <w:top w:val="single" w:sz="4" w:space="1" w:color="000000"/>
          <w:left w:val="single" w:sz="4" w:space="4" w:color="000000"/>
          <w:bottom w:val="single" w:sz="4" w:space="0" w:color="000000"/>
          <w:right w:val="single" w:sz="4" w:space="0" w:color="000000"/>
        </w:pBdr>
        <w:spacing w:before="280" w:after="0"/>
        <w:ind w:left="567" w:right="1132" w:firstLine="142"/>
        <w:rPr>
          <w:rFonts w:eastAsia="Times New Roman"/>
          <w:b/>
          <w:b/>
          <w:lang w:eastAsia="pl-PL"/>
        </w:rPr>
      </w:pPr>
      <w:r>
        <w:rPr>
          <w:rFonts w:eastAsia="Times New Roman"/>
          <w:b/>
          <w:lang w:eastAsia="pl-PL"/>
        </w:rPr>
        <w:t>Gmina Sułów</w:t>
      </w:r>
    </w:p>
    <w:p>
      <w:pPr>
        <w:pStyle w:val="Normal"/>
        <w:pBdr>
          <w:top w:val="single" w:sz="4" w:space="1" w:color="000000"/>
          <w:left w:val="single" w:sz="4" w:space="4" w:color="000000"/>
          <w:bottom w:val="single" w:sz="4" w:space="0" w:color="000000"/>
          <w:right w:val="single" w:sz="4" w:space="0" w:color="000000"/>
        </w:pBdr>
        <w:spacing w:before="280" w:after="0"/>
        <w:ind w:left="567" w:right="1132" w:firstLine="142"/>
        <w:rPr>
          <w:rFonts w:eastAsia="Times New Roman"/>
          <w:b/>
          <w:b/>
          <w:lang w:eastAsia="pl-PL"/>
        </w:rPr>
      </w:pPr>
      <w:r>
        <w:rPr>
          <w:rFonts w:eastAsia="Times New Roman"/>
          <w:b/>
          <w:lang w:eastAsia="pl-PL"/>
        </w:rPr>
        <w:t>Sułów 63</w:t>
      </w:r>
    </w:p>
    <w:p>
      <w:pPr>
        <w:pStyle w:val="Normal"/>
        <w:pBdr>
          <w:top w:val="single" w:sz="4" w:space="1" w:color="000000"/>
          <w:left w:val="single" w:sz="4" w:space="4" w:color="000000"/>
          <w:bottom w:val="single" w:sz="4" w:space="0" w:color="000000"/>
          <w:right w:val="single" w:sz="4" w:space="0" w:color="000000"/>
        </w:pBdr>
        <w:spacing w:before="280" w:after="0"/>
        <w:ind w:left="567" w:right="1132" w:firstLine="142"/>
        <w:rPr>
          <w:rFonts w:eastAsia="Times New Roman"/>
          <w:b/>
          <w:b/>
          <w:lang w:eastAsia="pl-PL"/>
        </w:rPr>
      </w:pPr>
      <w:r>
        <w:rPr>
          <w:rFonts w:eastAsia="Times New Roman"/>
          <w:b/>
          <w:lang w:eastAsia="pl-PL"/>
        </w:rPr>
        <w:t>22-448 Sułów</w:t>
      </w:r>
    </w:p>
    <w:p>
      <w:pPr>
        <w:pStyle w:val="Normal"/>
        <w:pBdr>
          <w:top w:val="single" w:sz="4" w:space="1" w:color="000000"/>
          <w:left w:val="single" w:sz="4" w:space="4" w:color="000000"/>
          <w:bottom w:val="single" w:sz="4" w:space="0" w:color="000000"/>
          <w:right w:val="single" w:sz="4" w:space="0" w:color="000000"/>
        </w:pBdr>
        <w:spacing w:before="280" w:after="0"/>
        <w:ind w:left="567" w:right="1132" w:firstLine="142"/>
        <w:rPr>
          <w:rFonts w:eastAsia="Times New Roman"/>
          <w:b/>
          <w:b/>
          <w:lang w:eastAsia="pl-PL"/>
        </w:rPr>
      </w:pPr>
      <w:r>
        <w:rPr>
          <w:rFonts w:eastAsia="Times New Roman"/>
          <w:b/>
          <w:lang w:eastAsia="pl-PL"/>
        </w:rPr>
        <w:t>(sekretariat Urzędu Gminy  – pokój nr 1)</w:t>
      </w:r>
    </w:p>
    <w:p>
      <w:pPr>
        <w:pStyle w:val="Normal"/>
        <w:spacing w:before="280" w:after="0"/>
        <w:ind w:left="567" w:hanging="0"/>
        <w:rPr>
          <w:rFonts w:eastAsia="Times New Roman"/>
          <w:b/>
          <w:b/>
          <w:lang w:eastAsia="pl-PL"/>
        </w:rPr>
      </w:pPr>
      <w:r>
        <w:rPr>
          <w:rFonts w:eastAsia="Times New Roman"/>
          <w:b/>
          <w:lang w:eastAsia="pl-PL"/>
        </w:rPr>
        <w:t>Termin:</w:t>
      </w:r>
    </w:p>
    <w:p>
      <w:pPr>
        <w:pStyle w:val="Normal"/>
        <w:spacing w:before="280" w:after="0"/>
        <w:ind w:left="426" w:hanging="0"/>
        <w:rPr>
          <w:rFonts w:eastAsia="Times New Roman"/>
          <w:b/>
          <w:b/>
          <w:bdr w:val="single" w:sz="4" w:space="0" w:color="000000"/>
          <w:lang w:eastAsia="pl-PL"/>
        </w:rPr>
      </w:pPr>
      <w:r>
        <w:rPr>
          <w:rFonts w:eastAsia="Times New Roman"/>
          <w:b/>
          <w:bdr w:val="single" w:sz="4" w:space="0" w:color="000000"/>
          <w:lang w:eastAsia="pl-PL"/>
        </w:rPr>
        <w:t>do dnia 13 grudnia 2019 r., do godz. 10.00</w:t>
      </w:r>
    </w:p>
    <w:p>
      <w:pPr>
        <w:pStyle w:val="Normal"/>
        <w:spacing w:before="280" w:after="0"/>
        <w:ind w:left="426" w:hanging="0"/>
        <w:rPr>
          <w:rFonts w:eastAsia="Times New Roman"/>
          <w:b/>
          <w:b/>
          <w:u w:val="single"/>
          <w:lang w:eastAsia="pl-PL"/>
        </w:rPr>
      </w:pPr>
      <w:r>
        <w:rPr>
          <w:rFonts w:eastAsia="Times New Roman"/>
          <w:b/>
          <w:u w:val="single"/>
          <w:lang w:eastAsia="pl-PL"/>
        </w:rPr>
        <w:t>Oferty złożone po terminie będą zwrócone niezwłocznie Wykonawcom.</w:t>
      </w:r>
    </w:p>
    <w:p>
      <w:pPr>
        <w:pStyle w:val="ListParagraph"/>
        <w:numPr>
          <w:ilvl w:val="1"/>
          <w:numId w:val="2"/>
        </w:numPr>
        <w:spacing w:lineRule="auto" w:line="276" w:beforeAutospacing="0" w:before="0" w:afterAutospacing="0" w:after="0"/>
        <w:contextualSpacing/>
        <w:rPr>
          <w:u w:val="single"/>
        </w:rPr>
      </w:pPr>
      <w:r>
        <w:rPr>
          <w:u w:val="single"/>
        </w:rPr>
        <w:t>Miejsce i termin otwarcia ofert:</w:t>
      </w:r>
    </w:p>
    <w:p>
      <w:pPr>
        <w:pStyle w:val="ListParagraph"/>
        <w:spacing w:before="280" w:after="0"/>
        <w:ind w:left="502" w:hanging="0"/>
        <w:contextualSpacing/>
        <w:rPr>
          <w:u w:val="single"/>
        </w:rPr>
      </w:pPr>
      <w:r>
        <w:rPr>
          <w:u w:val="single"/>
        </w:rPr>
      </w:r>
    </w:p>
    <w:p>
      <w:pPr>
        <w:pStyle w:val="Normal"/>
        <w:pBdr>
          <w:top w:val="single" w:sz="4" w:space="3" w:color="000000"/>
          <w:left w:val="single" w:sz="4" w:space="4" w:color="000000"/>
          <w:bottom w:val="single" w:sz="4" w:space="1" w:color="000000"/>
          <w:right w:val="single" w:sz="4" w:space="31" w:color="000000"/>
        </w:pBdr>
        <w:spacing w:before="280" w:after="0"/>
        <w:ind w:left="924" w:right="3686" w:hanging="0"/>
        <w:rPr>
          <w:b/>
          <w:b/>
        </w:rPr>
      </w:pPr>
      <w:r>
        <w:rPr>
          <w:b/>
        </w:rPr>
        <w:t>Gmina Sułów</w:t>
      </w:r>
    </w:p>
    <w:p>
      <w:pPr>
        <w:pStyle w:val="Normal"/>
        <w:pBdr>
          <w:top w:val="single" w:sz="4" w:space="3" w:color="000000"/>
          <w:left w:val="single" w:sz="4" w:space="4" w:color="000000"/>
          <w:bottom w:val="single" w:sz="4" w:space="1" w:color="000000"/>
          <w:right w:val="single" w:sz="4" w:space="31" w:color="000000"/>
        </w:pBdr>
        <w:spacing w:before="280" w:after="0"/>
        <w:ind w:left="924" w:right="3686" w:hanging="0"/>
        <w:rPr>
          <w:b/>
          <w:b/>
        </w:rPr>
      </w:pPr>
      <w:r>
        <w:rPr>
          <w:b/>
        </w:rPr>
        <w:t>Sułów 63</w:t>
      </w:r>
    </w:p>
    <w:p>
      <w:pPr>
        <w:pStyle w:val="Normal"/>
        <w:pBdr>
          <w:top w:val="single" w:sz="4" w:space="3" w:color="000000"/>
          <w:left w:val="single" w:sz="4" w:space="4" w:color="000000"/>
          <w:bottom w:val="single" w:sz="4" w:space="1" w:color="000000"/>
          <w:right w:val="single" w:sz="4" w:space="31" w:color="000000"/>
        </w:pBdr>
        <w:spacing w:before="280" w:after="0"/>
        <w:ind w:left="924" w:right="3686" w:hanging="0"/>
        <w:rPr>
          <w:b/>
          <w:b/>
        </w:rPr>
      </w:pPr>
      <w:r>
        <w:rPr>
          <w:b/>
        </w:rPr>
        <w:t>22-448 Sułów</w:t>
      </w:r>
    </w:p>
    <w:p>
      <w:pPr>
        <w:pStyle w:val="Normal"/>
        <w:pBdr>
          <w:top w:val="single" w:sz="4" w:space="3" w:color="000000"/>
          <w:left w:val="single" w:sz="4" w:space="4" w:color="000000"/>
          <w:bottom w:val="single" w:sz="4" w:space="1" w:color="000000"/>
          <w:right w:val="single" w:sz="4" w:space="31" w:color="000000"/>
        </w:pBdr>
        <w:spacing w:before="280" w:after="0"/>
        <w:ind w:left="924" w:right="3686" w:hanging="0"/>
        <w:rPr>
          <w:b/>
          <w:b/>
        </w:rPr>
      </w:pPr>
      <w:r>
        <w:rPr>
          <w:b/>
        </w:rPr>
        <w:t>Sala Konferencyjna – nr 11 – parter budynku.</w:t>
      </w:r>
    </w:p>
    <w:p>
      <w:pPr>
        <w:pStyle w:val="Normal"/>
        <w:spacing w:before="280" w:after="0"/>
        <w:ind w:left="924" w:hanging="0"/>
        <w:rPr>
          <w:b/>
          <w:b/>
        </w:rPr>
      </w:pPr>
      <w:r>
        <w:rPr>
          <w:b/>
        </w:rPr>
        <w:t>Termin:</w:t>
      </w:r>
    </w:p>
    <w:p>
      <w:pPr>
        <w:pStyle w:val="Normal"/>
        <w:spacing w:before="280" w:after="0"/>
        <w:ind w:firstLine="142"/>
        <w:rPr>
          <w:bdr w:val="single" w:sz="4" w:space="0" w:color="000000"/>
        </w:rPr>
      </w:pPr>
      <w:r>
        <w:rPr>
          <w:b/>
          <w:bCs/>
          <w:bdr w:val="single" w:sz="4" w:space="0" w:color="000000"/>
        </w:rPr>
        <w:t>Dnia 13 grudnia 2019 r., godz. 10.15</w:t>
      </w:r>
      <w:r>
        <w:rPr>
          <w:bdr w:val="single" w:sz="4" w:space="0" w:color="000000"/>
        </w:rPr>
        <w:t xml:space="preserve">. </w:t>
      </w:r>
    </w:p>
    <w:p>
      <w:pPr>
        <w:pStyle w:val="Normal"/>
        <w:spacing w:before="280" w:after="0"/>
        <w:ind w:firstLine="142"/>
        <w:rPr>
          <w:bdr w:val="single" w:sz="4" w:space="0" w:color="000000"/>
        </w:rPr>
      </w:pPr>
      <w:r>
        <w:rPr>
          <w:bdr w:val="single" w:sz="4" w:space="0" w:color="000000"/>
        </w:rPr>
      </w:r>
    </w:p>
    <w:p>
      <w:pPr>
        <w:pStyle w:val="ListParagraph"/>
        <w:numPr>
          <w:ilvl w:val="1"/>
          <w:numId w:val="2"/>
        </w:numPr>
        <w:spacing w:lineRule="auto" w:line="276" w:beforeAutospacing="0" w:before="0" w:afterAutospacing="0" w:after="0"/>
        <w:contextualSpacing/>
        <w:rPr>
          <w:u w:val="single"/>
        </w:rPr>
      </w:pPr>
      <w:r>
        <w:rPr>
          <w:u w:val="single"/>
        </w:rPr>
        <w:t>Otwarcie ofert:</w:t>
      </w:r>
    </w:p>
    <w:p>
      <w:pPr>
        <w:pStyle w:val="ListParagraph"/>
        <w:numPr>
          <w:ilvl w:val="2"/>
          <w:numId w:val="2"/>
        </w:numPr>
        <w:spacing w:lineRule="auto" w:line="276" w:beforeAutospacing="0" w:before="0" w:afterAutospacing="0" w:after="0"/>
        <w:contextualSpacing/>
        <w:rPr/>
      </w:pPr>
      <w:r>
        <w:rPr/>
        <w:t xml:space="preserve">otwarcie ofert jest jawne i następuje bezpośrednio po upływie terminu do ich składania, </w:t>
      </w:r>
    </w:p>
    <w:p>
      <w:pPr>
        <w:pStyle w:val="ListParagraph"/>
        <w:numPr>
          <w:ilvl w:val="2"/>
          <w:numId w:val="2"/>
        </w:numPr>
        <w:spacing w:lineRule="auto" w:line="276" w:beforeAutospacing="0" w:before="0" w:afterAutospacing="0" w:after="0"/>
        <w:contextualSpacing/>
        <w:rPr/>
      </w:pPr>
      <w:r>
        <w:rPr/>
        <w:t>bezpośrednio przed otwarciem ofert Zamawiający podaje kwotę, jaką zamierza przeznaczyć na sfinansowanie zamówienia,</w:t>
      </w:r>
    </w:p>
    <w:p>
      <w:pPr>
        <w:pStyle w:val="ListParagraph"/>
        <w:numPr>
          <w:ilvl w:val="2"/>
          <w:numId w:val="2"/>
        </w:numPr>
        <w:spacing w:lineRule="auto" w:line="276" w:beforeAutospacing="0" w:before="0" w:afterAutospacing="0" w:after="0"/>
        <w:contextualSpacing/>
        <w:rPr/>
      </w:pPr>
      <w:r>
        <w:rPr/>
        <w:t>podczas otwarcia ofert podaje się nazwy (firmy) oraz adresy wykonawców, a także informacje dotyczące ceny, terminu wykonania zamówienia, okresu gwarancji i warunków płatności zawartych w ofertach.</w:t>
      </w:r>
    </w:p>
    <w:p>
      <w:pPr>
        <w:pStyle w:val="ListParagraph"/>
        <w:spacing w:before="280" w:after="0"/>
        <w:ind w:left="928" w:hanging="0"/>
        <w:contextualSpacing/>
        <w:rPr/>
      </w:pPr>
      <w:r>
        <w:rPr/>
      </w:r>
    </w:p>
    <w:p>
      <w:pPr>
        <w:pStyle w:val="Spsize"/>
        <w:jc w:val="both"/>
        <w:rPr/>
      </w:pPr>
      <w:r>
        <w:rPr>
          <w:rStyle w:val="Strong"/>
          <w:u w:val="single"/>
        </w:rPr>
        <w:t>Uwaga:</w:t>
      </w:r>
    </w:p>
    <w:p>
      <w:pPr>
        <w:pStyle w:val="Spsize"/>
        <w:jc w:val="both"/>
        <w:rPr/>
      </w:pPr>
      <w:r>
        <w:rPr/>
        <w:t>Pozostała treść SIWZ i jej załączników pozostaje bez zmian.</w:t>
      </w:r>
    </w:p>
    <w:p>
      <w:pPr>
        <w:pStyle w:val="Spsize"/>
        <w:rPr/>
      </w:pPr>
      <w:r>
        <w:rPr/>
        <w:t xml:space="preserve">Ww. zmiany prowadzą do zmiany treści ogłoszenia na ww. postępowanie nr </w:t>
      </w:r>
      <w:r>
        <w:rPr>
          <w:rStyle w:val="Strong"/>
        </w:rPr>
        <w:t>623984-N-2019 z dnia 19.11.2019 r. </w:t>
      </w:r>
      <w:r>
        <w:rPr>
          <w:b/>
          <w:bCs/>
        </w:rPr>
        <w:br/>
      </w:r>
      <w:r>
        <w:rPr>
          <w:rStyle w:val="Strong"/>
        </w:rPr>
        <w:t> </w:t>
      </w:r>
    </w:p>
    <w:p>
      <w:pPr>
        <w:pStyle w:val="Spsize"/>
        <w:jc w:val="both"/>
        <w:rPr>
          <w:rStyle w:val="Wyrnienie"/>
          <w:b/>
          <w:b/>
          <w:bCs/>
        </w:rPr>
      </w:pPr>
      <w:r>
        <w:rPr>
          <w:rStyle w:val="Wyrnienie"/>
          <w:b/>
          <w:bCs/>
        </w:rPr>
        <w:t>Wykonawcy są zobowiązani do przygotowania oferty z uwzględnieniem zmian wprowadzonych do SIWZ niniejszym dokumentem z dniem 4 grudnia 2019r.</w:t>
      </w:r>
    </w:p>
    <w:p>
      <w:pPr>
        <w:pStyle w:val="Spsize"/>
        <w:jc w:val="both"/>
        <w:rPr>
          <w:rStyle w:val="Wyrnienie"/>
          <w:b/>
          <w:b/>
          <w:bCs/>
        </w:rPr>
      </w:pPr>
      <w:r>
        <w:rPr>
          <w:rStyle w:val="Wyrnienie"/>
          <w:b/>
          <w:bCs/>
        </w:rPr>
        <w:tab/>
        <w:tab/>
      </w:r>
    </w:p>
    <w:p>
      <w:pPr>
        <w:pStyle w:val="Spsize"/>
        <w:jc w:val="both"/>
        <w:rPr>
          <w:rStyle w:val="Wyrnienie"/>
          <w:b/>
          <w:b/>
          <w:bCs/>
        </w:rPr>
      </w:pPr>
      <w:r>
        <w:rPr>
          <w:rStyle w:val="Wyrnienie"/>
          <w:b/>
          <w:bCs/>
        </w:rPr>
        <w:tab/>
        <w:tab/>
        <w:tab/>
        <w:tab/>
        <w:tab/>
        <w:tab/>
        <w:tab/>
        <w:tab/>
        <w:tab/>
        <w:tab/>
        <w:t>Wójt Gminy</w:t>
      </w:r>
    </w:p>
    <w:p>
      <w:pPr>
        <w:pStyle w:val="Spsize"/>
        <w:jc w:val="both"/>
        <w:rPr/>
      </w:pPr>
      <w:r>
        <w:rPr>
          <w:rStyle w:val="Wyrnienie"/>
          <w:b/>
          <w:bCs/>
        </w:rPr>
        <w:tab/>
        <w:tab/>
        <w:tab/>
        <w:tab/>
        <w:tab/>
        <w:tab/>
        <w:tab/>
        <w:tab/>
        <w:tab/>
        <w:tab/>
        <w:t>/-/ Leon Bula</w:t>
      </w:r>
      <w:r>
        <w:rPr>
          <w:rStyle w:val="Wyrnienie"/>
          <w:b/>
          <w:bCs/>
        </w:rPr>
        <w:t>k</w:t>
      </w:r>
    </w:p>
    <w:p>
      <w:pPr>
        <w:pStyle w:val="Spsize"/>
        <w:spacing w:before="280" w:after="280"/>
        <w:jc w:val="both"/>
        <w:rPr/>
      </w:pPr>
      <w:r>
        <w:rPr>
          <w:rStyle w:val="Wyrnienie"/>
          <w:b/>
          <w:bCs/>
        </w:rPr>
        <w:tab/>
        <w:tab/>
        <w:tab/>
        <w:tab/>
        <w:tab/>
        <w:tab/>
        <w:tab/>
        <w:t xml:space="preserve"> </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78452327"/>
    </w:sdtPr>
    <w:sdtContent>
      <w:p>
        <w:pPr>
          <w:pStyle w:val="Stopka"/>
          <w:jc w:val="right"/>
          <w:rPr/>
        </w:pPr>
        <w:r>
          <w:rPr/>
          <w:fldChar w:fldCharType="begin"/>
        </w:r>
        <w:r>
          <w:rPr/>
          <w:instrText> PAGE </w:instrText>
        </w:r>
        <w:r>
          <w:rPr/>
          <w:fldChar w:fldCharType="separate"/>
        </w:r>
        <w:r>
          <w:rPr/>
          <w:t>5</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upperRoman"/>
      <w:lvlText w:val="%1."/>
      <w:lvlJc w:val="left"/>
      <w:pPr>
        <w:ind w:left="720" w:hanging="720"/>
      </w:pPr>
      <w:rPr>
        <w:sz w:val="24"/>
        <w:b/>
        <w:szCs w:val="24"/>
        <w:rFonts w:cs="Times New Roman"/>
        <w:color w:val="auto"/>
      </w:rPr>
    </w:lvl>
    <w:lvl w:ilvl="1">
      <w:start w:val="1"/>
      <w:numFmt w:val="lowerLetter"/>
      <w:lvlText w:val="%2."/>
      <w:lvlJc w:val="left"/>
      <w:pPr>
        <w:ind w:left="1440" w:hanging="360"/>
      </w:pPr>
    </w:lvl>
    <w:lvl w:ilvl="2">
      <w:start w:val="1"/>
      <w:numFmt w:val="decimal"/>
      <w:lvlText w:val="%3."/>
      <w:lvlJc w:val="right"/>
      <w:pPr>
        <w:ind w:left="748" w:hanging="180"/>
      </w:pPr>
      <w:rPr>
        <w:rFonts w:eastAsia="Times New Roman" w:cs="Times New Roman"/>
      </w:rPr>
    </w:lvl>
    <w:lvl w:ilvl="3">
      <w:start w:val="1"/>
      <w:numFmt w:val="decimal"/>
      <w:lvlText w:val="%4)"/>
      <w:lvlJc w:val="left"/>
      <w:pPr>
        <w:ind w:left="1070" w:hanging="360"/>
      </w:pPr>
      <w:rPr>
        <w:rFonts w:eastAsia="Times New Roman" w:cs="Times New Roman"/>
      </w:rPr>
    </w:lvl>
    <w:lvl w:ilvl="4">
      <w:start w:val="1"/>
      <w:numFmt w:val="lowerLetter"/>
      <w:lvlText w:val="%5."/>
      <w:lvlJc w:val="left"/>
      <w:pPr>
        <w:ind w:left="1495"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tabs>
          <w:tab w:val="num" w:pos="927"/>
        </w:tabs>
        <w:ind w:left="927" w:hanging="360"/>
      </w:pPr>
      <w:rPr>
        <w:sz w:val="24"/>
        <w:b/>
        <w:szCs w:val="24"/>
        <w:rFonts w:eastAsia="Times New Roman" w:cs="Times New Roman"/>
      </w:rPr>
    </w:lvl>
    <w:lvl w:ilvl="1">
      <w:start w:val="1"/>
      <w:numFmt w:val="decimal"/>
      <w:lvlText w:val="%2."/>
      <w:lvlJc w:val="left"/>
      <w:pPr>
        <w:tabs>
          <w:tab w:val="num" w:pos="502"/>
        </w:tabs>
        <w:ind w:left="502" w:hanging="360"/>
      </w:pPr>
    </w:lvl>
    <w:lvl w:ilvl="2">
      <w:start w:val="1"/>
      <w:numFmt w:val="decimal"/>
      <w:lvlText w:val="%3)"/>
      <w:lvlJc w:val="left"/>
      <w:pPr>
        <w:ind w:left="928" w:hanging="360"/>
      </w:pPr>
      <w:rPr>
        <w:u w:val="none"/>
      </w:rPr>
    </w:lvl>
    <w:lvl w:ilvl="3">
      <w:start w:val="1"/>
      <w:numFmt w:val="lowerLetter"/>
      <w:lvlText w:val="%4)"/>
      <w:lvlJc w:val="left"/>
      <w:pPr>
        <w:ind w:left="1211"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
    <w:lvl w:ilvl="0">
      <w:start w:val="1"/>
      <w:numFmt w:val="decimal"/>
      <w:lvlText w:val="%1."/>
      <w:lvlJc w:val="left"/>
      <w:pPr>
        <w:ind w:left="360" w:hanging="360"/>
      </w:pPr>
      <w:rPr>
        <w:b/>
        <w:color w:val="auto"/>
      </w:rPr>
    </w:lvl>
    <w:lvl w:ilvl="1">
      <w:start w:val="1"/>
      <w:numFmt w:val="lowerLetter"/>
      <w:lvlText w:val="%2."/>
      <w:lvlJc w:val="left"/>
      <w:pPr>
        <w:ind w:left="1080" w:hanging="360"/>
      </w:pPr>
    </w:lvl>
    <w:lvl w:ilvl="2">
      <w:start w:val="1"/>
      <w:numFmt w:val="decimal"/>
      <w:lvlText w:val="%3."/>
      <w:lvlJc w:val="right"/>
      <w:pPr>
        <w:ind w:left="890" w:hanging="180"/>
      </w:pPr>
      <w:rPr>
        <w:rFonts w:eastAsia="Times New Roman" w:cs="Times New Roman"/>
      </w:rPr>
    </w:lvl>
    <w:lvl w:ilvl="3">
      <w:start w:val="1"/>
      <w:numFmt w:val="decimal"/>
      <w:lvlText w:val="%4."/>
      <w:lvlJc w:val="left"/>
      <w:pPr>
        <w:ind w:left="928" w:hanging="360"/>
      </w:pPr>
    </w:lvl>
    <w:lvl w:ilvl="4">
      <w:start w:val="1"/>
      <w:numFmt w:val="decimal"/>
      <w:lvlText w:val="%5)"/>
      <w:lvlJc w:val="left"/>
      <w:pPr>
        <w:ind w:left="1211" w:hanging="360"/>
      </w:pPr>
    </w:lvl>
    <w:lvl w:ilvl="5">
      <w:start w:val="1"/>
      <w:numFmt w:val="lowerLetter"/>
      <w:lvlText w:val="%6)"/>
      <w:lvlJc w:val="left"/>
      <w:pPr>
        <w:ind w:left="1495" w:hanging="360"/>
      </w:pPr>
      <w:rPr>
        <w:b w:val="false"/>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bullet"/>
      <w:lvlText w:val=""/>
      <w:lvlJc w:val="left"/>
      <w:pPr>
        <w:ind w:left="928" w:hanging="360"/>
      </w:pPr>
      <w:rPr>
        <w:rFonts w:ascii="Symbol" w:hAnsi="Symbol" w:cs="Symbol" w:hint="default"/>
        <w:color w:val="auto"/>
      </w:rPr>
    </w:lvl>
    <w:lvl w:ilvl="1">
      <w:start w:val="1"/>
      <w:numFmt w:val="bullet"/>
      <w:lvlText w:val="o"/>
      <w:lvlJc w:val="left"/>
      <w:pPr>
        <w:ind w:left="1648" w:hanging="360"/>
      </w:pPr>
      <w:rPr>
        <w:rFonts w:ascii="Courier New" w:hAnsi="Courier New" w:cs="Courier New" w:hint="default"/>
        <w:rFonts w:cs="Courier New"/>
      </w:rPr>
    </w:lvl>
    <w:lvl w:ilvl="2">
      <w:start w:val="1"/>
      <w:numFmt w:val="bullet"/>
      <w:lvlText w:val=""/>
      <w:lvlJc w:val="left"/>
      <w:pPr>
        <w:ind w:left="2368" w:hanging="360"/>
      </w:pPr>
      <w:rPr>
        <w:rFonts w:ascii="Wingdings" w:hAnsi="Wingdings" w:cs="Wingdings" w:hint="default"/>
      </w:rPr>
    </w:lvl>
    <w:lvl w:ilvl="3">
      <w:start w:val="1"/>
      <w:numFmt w:val="bullet"/>
      <w:lvlText w:val=""/>
      <w:lvlJc w:val="left"/>
      <w:pPr>
        <w:ind w:left="3088" w:hanging="360"/>
      </w:pPr>
      <w:rPr>
        <w:rFonts w:ascii="Symbol" w:hAnsi="Symbol" w:cs="Symbol" w:hint="default"/>
      </w:rPr>
    </w:lvl>
    <w:lvl w:ilvl="4">
      <w:start w:val="1"/>
      <w:numFmt w:val="bullet"/>
      <w:lvlText w:val="o"/>
      <w:lvlJc w:val="left"/>
      <w:pPr>
        <w:ind w:left="3808" w:hanging="360"/>
      </w:pPr>
      <w:rPr>
        <w:rFonts w:ascii="Courier New" w:hAnsi="Courier New" w:cs="Courier New" w:hint="default"/>
        <w:rFonts w:cs="Courier New"/>
      </w:rPr>
    </w:lvl>
    <w:lvl w:ilvl="5">
      <w:start w:val="1"/>
      <w:numFmt w:val="bullet"/>
      <w:lvlText w:val=""/>
      <w:lvlJc w:val="left"/>
      <w:pPr>
        <w:ind w:left="4528" w:hanging="360"/>
      </w:pPr>
      <w:rPr>
        <w:rFonts w:ascii="Wingdings" w:hAnsi="Wingdings" w:cs="Wingdings" w:hint="default"/>
      </w:rPr>
    </w:lvl>
    <w:lvl w:ilvl="6">
      <w:start w:val="1"/>
      <w:numFmt w:val="bullet"/>
      <w:lvlText w:val=""/>
      <w:lvlJc w:val="left"/>
      <w:pPr>
        <w:ind w:left="5248" w:hanging="360"/>
      </w:pPr>
      <w:rPr>
        <w:rFonts w:ascii="Symbol" w:hAnsi="Symbol" w:cs="Symbol" w:hint="default"/>
      </w:rPr>
    </w:lvl>
    <w:lvl w:ilvl="7">
      <w:start w:val="1"/>
      <w:numFmt w:val="bullet"/>
      <w:lvlText w:val="o"/>
      <w:lvlJc w:val="left"/>
      <w:pPr>
        <w:ind w:left="5968" w:hanging="360"/>
      </w:pPr>
      <w:rPr>
        <w:rFonts w:ascii="Courier New" w:hAnsi="Courier New" w:cs="Courier New" w:hint="default"/>
        <w:rFonts w:cs="Courier New"/>
      </w:rPr>
    </w:lvl>
    <w:lvl w:ilvl="8">
      <w:start w:val="1"/>
      <w:numFmt w:val="bullet"/>
      <w:lvlText w:val=""/>
      <w:lvlJc w:val="left"/>
      <w:pPr>
        <w:ind w:left="6688"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4"/>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50e36"/>
    <w:pPr>
      <w:widowControl/>
      <w:bidi w:val="0"/>
      <w:spacing w:beforeAutospacing="1" w:afterAutospacing="1"/>
      <w:jc w:val="both"/>
    </w:pPr>
    <w:rPr>
      <w:rFonts w:ascii="Times New Roman" w:hAnsi="Times New Roman" w:eastAsia="Calibri" w:cs="Times New Roman" w:eastAsiaTheme="minorHAnsi"/>
      <w:color w:val="auto"/>
      <w:kern w:val="0"/>
      <w:sz w:val="24"/>
      <w:szCs w:val="24"/>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2c6f99"/>
    <w:rPr>
      <w:b/>
      <w:bCs/>
    </w:rPr>
  </w:style>
  <w:style w:type="character" w:styleId="Wyrnienie">
    <w:name w:val="Wyróżnienie"/>
    <w:basedOn w:val="DefaultParagraphFont"/>
    <w:uiPriority w:val="20"/>
    <w:qFormat/>
    <w:rsid w:val="002c6f99"/>
    <w:rPr>
      <w:i/>
      <w:iCs/>
    </w:rPr>
  </w:style>
  <w:style w:type="character" w:styleId="AkapitzlistZnak" w:customStyle="1">
    <w:name w:val="Akapit z listą Znak"/>
    <w:link w:val="Akapitzlist"/>
    <w:uiPriority w:val="34"/>
    <w:qFormat/>
    <w:rsid w:val="00500faa"/>
    <w:rPr/>
  </w:style>
  <w:style w:type="character" w:styleId="NagwekZnak" w:customStyle="1">
    <w:name w:val="Nagłówek Znak"/>
    <w:basedOn w:val="DefaultParagraphFont"/>
    <w:link w:val="Nagwek"/>
    <w:uiPriority w:val="99"/>
    <w:qFormat/>
    <w:rsid w:val="00c97d1c"/>
    <w:rPr/>
  </w:style>
  <w:style w:type="character" w:styleId="StopkaZnak" w:customStyle="1">
    <w:name w:val="Stopka Znak"/>
    <w:basedOn w:val="DefaultParagraphFont"/>
    <w:link w:val="Stopka"/>
    <w:uiPriority w:val="99"/>
    <w:qFormat/>
    <w:rsid w:val="00c97d1c"/>
    <w:rPr/>
  </w:style>
  <w:style w:type="character" w:styleId="TekstdymkaZnak" w:customStyle="1">
    <w:name w:val="Tekst dymka Znak"/>
    <w:basedOn w:val="DefaultParagraphFont"/>
    <w:link w:val="Tekstdymka"/>
    <w:uiPriority w:val="99"/>
    <w:semiHidden/>
    <w:qFormat/>
    <w:rsid w:val="00c97d1c"/>
    <w:rPr>
      <w:rFonts w:ascii="Tahoma" w:hAnsi="Tahoma" w:cs="Tahoma"/>
      <w:sz w:val="16"/>
      <w:szCs w:val="16"/>
    </w:rPr>
  </w:style>
  <w:style w:type="character" w:styleId="ListLabel1">
    <w:name w:val="ListLabel 1"/>
    <w:qFormat/>
    <w:rPr>
      <w:rFonts w:cs="Times New Roman"/>
      <w:b/>
      <w:color w:val="auto"/>
      <w:sz w:val="24"/>
      <w:szCs w:val="24"/>
    </w:rPr>
  </w:style>
  <w:style w:type="character" w:styleId="ListLabel2">
    <w:name w:val="ListLabel 2"/>
    <w:qFormat/>
    <w:rPr>
      <w:rFonts w:eastAsia="Times New Roman" w:cs="Times New Roman"/>
    </w:rPr>
  </w:style>
  <w:style w:type="character" w:styleId="ListLabel3">
    <w:name w:val="ListLabel 3"/>
    <w:qFormat/>
    <w:rPr>
      <w:rFonts w:eastAsia="Times New Roman" w:cs="Times New Roman"/>
    </w:rPr>
  </w:style>
  <w:style w:type="character" w:styleId="ListLabel4">
    <w:name w:val="ListLabel 4"/>
    <w:qFormat/>
    <w:rPr>
      <w:rFonts w:eastAsia="Times New Roman" w:cs="Times New Roman"/>
      <w:b/>
      <w:sz w:val="24"/>
      <w:szCs w:val="24"/>
    </w:rPr>
  </w:style>
  <w:style w:type="character" w:styleId="ListLabel5">
    <w:name w:val="ListLabel 5"/>
    <w:qFormat/>
    <w:rPr>
      <w:u w:val="none"/>
    </w:rPr>
  </w:style>
  <w:style w:type="character" w:styleId="ListLabel6">
    <w:name w:val="ListLabel 6"/>
    <w:qFormat/>
    <w:rPr>
      <w:u w:val="single"/>
    </w:rPr>
  </w:style>
  <w:style w:type="character" w:styleId="ListLabel7">
    <w:name w:val="ListLabel 7"/>
    <w:qFormat/>
    <w:rPr>
      <w:b/>
      <w:color w:val="auto"/>
    </w:rPr>
  </w:style>
  <w:style w:type="character" w:styleId="ListLabel8">
    <w:name w:val="ListLabel 8"/>
    <w:qFormat/>
    <w:rPr>
      <w:rFonts w:eastAsia="Times New Roman" w:cs="Times New Roman"/>
    </w:rPr>
  </w:style>
  <w:style w:type="character" w:styleId="ListLabel9">
    <w:name w:val="ListLabel 9"/>
    <w:qFormat/>
    <w:rPr>
      <w:b w:val="false"/>
    </w:rPr>
  </w:style>
  <w:style w:type="character" w:styleId="ListLabel10">
    <w:name w:val="ListLabel 10"/>
    <w:qFormat/>
    <w:rPr>
      <w:color w:val="auto"/>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psize" w:customStyle="1">
    <w:name w:val="sp_size"/>
    <w:basedOn w:val="Normal"/>
    <w:qFormat/>
    <w:rsid w:val="002c6f99"/>
    <w:pPr>
      <w:jc w:val="left"/>
    </w:pPr>
    <w:rPr>
      <w:rFonts w:eastAsia="Times New Roman"/>
      <w:lang w:eastAsia="pl-PL"/>
    </w:rPr>
  </w:style>
  <w:style w:type="paragraph" w:styleId="ListParagraph">
    <w:name w:val="List Paragraph"/>
    <w:basedOn w:val="Normal"/>
    <w:link w:val="AkapitzlistZnak"/>
    <w:uiPriority w:val="34"/>
    <w:qFormat/>
    <w:rsid w:val="004d3d1b"/>
    <w:pPr>
      <w:spacing w:before="280" w:after="280"/>
      <w:ind w:left="720" w:hanging="0"/>
      <w:contextualSpacing/>
    </w:pPr>
    <w:rPr/>
  </w:style>
  <w:style w:type="paragraph" w:styleId="Gwka">
    <w:name w:val="Header"/>
    <w:basedOn w:val="Normal"/>
    <w:link w:val="NagwekZnak"/>
    <w:uiPriority w:val="99"/>
    <w:unhideWhenUsed/>
    <w:rsid w:val="00c97d1c"/>
    <w:pPr>
      <w:tabs>
        <w:tab w:val="center" w:pos="4536" w:leader="none"/>
        <w:tab w:val="right" w:pos="9072" w:leader="none"/>
      </w:tabs>
      <w:spacing w:before="0" w:after="0"/>
    </w:pPr>
    <w:rPr/>
  </w:style>
  <w:style w:type="paragraph" w:styleId="Stopka">
    <w:name w:val="Footer"/>
    <w:basedOn w:val="Normal"/>
    <w:link w:val="StopkaZnak"/>
    <w:uiPriority w:val="99"/>
    <w:unhideWhenUsed/>
    <w:rsid w:val="00c97d1c"/>
    <w:pPr>
      <w:tabs>
        <w:tab w:val="center" w:pos="4536" w:leader="none"/>
        <w:tab w:val="right" w:pos="9072" w:leader="none"/>
      </w:tabs>
      <w:spacing w:before="0" w:after="0"/>
    </w:pPr>
    <w:rPr/>
  </w:style>
  <w:style w:type="paragraph" w:styleId="BalloonText">
    <w:name w:val="Balloon Text"/>
    <w:basedOn w:val="Normal"/>
    <w:link w:val="TekstdymkaZnak"/>
    <w:uiPriority w:val="99"/>
    <w:semiHidden/>
    <w:unhideWhenUsed/>
    <w:qFormat/>
    <w:rsid w:val="00c97d1c"/>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
  <Abstract/>
  <CompanyAddress>
ZMIANA TREŚCI SPECYFIKACJI ISTOTNYCH WARUNKÓW ZAMÓWIENIA</CompanyAddress>
  <CompanyPhone/>
  <CompanyFax/>
  <CompanyEmail/>
</CoverPageProperties>
</file>

<file path=customXml/itemProps1.xml><?xml version="1.0" encoding="utf-8"?>
<ds:datastoreItem xmlns:ds="http://schemas.openxmlformats.org/officeDocument/2006/customXml" ds:itemID="{743385C8-86C5-4013-AB0B-A546F6FA8FB2}">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Application>LibreOffice/6.0.6.2$Windows_X86_64 LibreOffice_project/0c292870b25a325b5ed35f6b45599d2ea4458e77</Application>
  <Pages>5</Pages>
  <Words>1378</Words>
  <Characters>9093</Characters>
  <CharactersWithSpaces>10466</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2019-11-29T10:20:00Z</dcterms:created>
  <dc:creator>Małgorzata Ch</dc:creator>
  <dc:description/>
  <dc:language>pl-PL</dc:language>
  <cp:lastModifiedBy/>
  <cp:lastPrinted>2019-12-04T07:52:00Z</cp:lastPrinted>
  <dcterms:modified xsi:type="dcterms:W3CDTF">2019-12-06T10:53:34Z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